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F8" w:rsidRDefault="00755763" w:rsidP="00240614">
      <w:pPr>
        <w:spacing w:after="120"/>
        <w:rPr>
          <w:sz w:val="22"/>
          <w:lang w:val="de-AT"/>
        </w:rPr>
      </w:pPr>
      <w:r>
        <w:rPr>
          <w:noProof/>
          <w:sz w:val="22"/>
          <w:lang w:val="de-AT"/>
        </w:rPr>
        <w:drawing>
          <wp:inline distT="0" distB="0" distL="0" distR="0">
            <wp:extent cx="6115050" cy="466725"/>
            <wp:effectExtent l="0" t="0" r="0" b="9525"/>
            <wp:docPr id="1" name="Grafik 1" descr="S:\Organisation\InfoFür_Uns\EDV-Infos\AutoSignatur\TU-Balken-mitt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Organisation\InfoFür_Uns\EDV-Infos\AutoSignatur\TU-Balken-mitti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84" w:rsidRDefault="00D40384" w:rsidP="00240614">
      <w:pPr>
        <w:spacing w:after="120"/>
        <w:rPr>
          <w:sz w:val="22"/>
          <w:lang w:val="de-AT"/>
        </w:rPr>
      </w:pPr>
    </w:p>
    <w:p w:rsidR="00240614" w:rsidRPr="00FD6AF8" w:rsidRDefault="00240614" w:rsidP="00240614">
      <w:pPr>
        <w:spacing w:after="120"/>
        <w:rPr>
          <w:sz w:val="22"/>
          <w:lang w:val="de-AT"/>
        </w:rPr>
      </w:pPr>
      <w:bookmarkStart w:id="0" w:name="_GoBack"/>
      <w:r w:rsidRPr="00FD6AF8">
        <w:rPr>
          <w:sz w:val="22"/>
          <w:lang w:val="de-AT"/>
        </w:rPr>
        <w:t xml:space="preserve">Sehr geehrte </w:t>
      </w:r>
      <w:r w:rsidR="004153AB">
        <w:rPr>
          <w:sz w:val="22"/>
          <w:lang w:val="de-AT"/>
        </w:rPr>
        <w:t>Damen und Herren</w:t>
      </w:r>
      <w:r w:rsidRPr="00FD6AF8">
        <w:rPr>
          <w:sz w:val="22"/>
          <w:lang w:val="de-AT"/>
        </w:rPr>
        <w:t>,</w:t>
      </w:r>
    </w:p>
    <w:p w:rsidR="00240614" w:rsidRPr="00FD6AF8" w:rsidRDefault="00240614" w:rsidP="00240614">
      <w:pPr>
        <w:spacing w:after="120"/>
        <w:rPr>
          <w:sz w:val="22"/>
          <w:lang w:val="de-AT"/>
        </w:rPr>
      </w:pPr>
    </w:p>
    <w:p w:rsidR="00240614" w:rsidRPr="00FD6AF8" w:rsidRDefault="00240614" w:rsidP="00240614">
      <w:pPr>
        <w:spacing w:after="120"/>
        <w:rPr>
          <w:sz w:val="22"/>
          <w:lang w:val="de-AT"/>
        </w:rPr>
      </w:pPr>
      <w:r w:rsidRPr="00FD6AF8">
        <w:rPr>
          <w:sz w:val="22"/>
          <w:lang w:val="de-AT"/>
        </w:rPr>
        <w:t>Wie Sie sicherlich wissen, sind mit der Registrierkasse einige Pflichten verbunden. Das betrifft nicht nur die einmalige Registrierung, sondern es müssen auc</w:t>
      </w:r>
      <w:r w:rsidR="00C74EF4">
        <w:rPr>
          <w:sz w:val="22"/>
          <w:lang w:val="de-AT"/>
        </w:rPr>
        <w:t>h regelmäßig Daten aus der Kasse</w:t>
      </w:r>
      <w:r w:rsidRPr="00FD6AF8">
        <w:rPr>
          <w:sz w:val="22"/>
          <w:lang w:val="de-AT"/>
        </w:rPr>
        <w:t xml:space="preserve"> gesichert und bestimmte Belege ausgedruckt und aufbewahrt werden. Außerdem müssen Informationen ans Finanzamt übermittelt werden.</w:t>
      </w:r>
    </w:p>
    <w:p w:rsidR="00240614" w:rsidRPr="00FD6AF8" w:rsidRDefault="00240614" w:rsidP="00240614">
      <w:pPr>
        <w:spacing w:after="120"/>
        <w:rPr>
          <w:sz w:val="22"/>
          <w:lang w:val="de-AT"/>
        </w:rPr>
      </w:pPr>
      <w:r w:rsidRPr="00FD6AF8">
        <w:rPr>
          <w:sz w:val="22"/>
          <w:lang w:val="de-AT"/>
        </w:rPr>
        <w:t>Wie Sie diese Tätigkeiten bei Ihrer Kass</w:t>
      </w:r>
      <w:r w:rsidR="00C74EF4">
        <w:rPr>
          <w:sz w:val="22"/>
          <w:lang w:val="de-AT"/>
        </w:rPr>
        <w:t>e</w:t>
      </w:r>
      <w:r w:rsidRPr="00FD6AF8">
        <w:rPr>
          <w:sz w:val="22"/>
          <w:lang w:val="de-AT"/>
        </w:rPr>
        <w:t xml:space="preserve"> durchführ</w:t>
      </w:r>
      <w:r w:rsidR="00D40384">
        <w:rPr>
          <w:sz w:val="22"/>
          <w:lang w:val="de-AT"/>
        </w:rPr>
        <w:t>en, steht entweder im Handbuch o</w:t>
      </w:r>
      <w:r w:rsidRPr="00FD6AF8">
        <w:rPr>
          <w:sz w:val="22"/>
          <w:lang w:val="de-AT"/>
        </w:rPr>
        <w:t xml:space="preserve">der es kann Ihnen der Lieferant bzw. Hersteller </w:t>
      </w:r>
      <w:r w:rsidR="00C74EF4">
        <w:rPr>
          <w:sz w:val="22"/>
          <w:lang w:val="de-AT"/>
        </w:rPr>
        <w:t>der Kasse</w:t>
      </w:r>
      <w:r w:rsidRPr="00FD6AF8">
        <w:rPr>
          <w:sz w:val="22"/>
          <w:lang w:val="de-AT"/>
        </w:rPr>
        <w:t xml:space="preserve"> weiterhelfen. Hier ein kurzer Überblick.</w:t>
      </w:r>
    </w:p>
    <w:p w:rsidR="00240614" w:rsidRPr="00240614" w:rsidRDefault="00240614" w:rsidP="00240614">
      <w:pPr>
        <w:pStyle w:val="berschrift1"/>
        <w:numPr>
          <w:ilvl w:val="0"/>
          <w:numId w:val="0"/>
        </w:numPr>
      </w:pPr>
      <w:r w:rsidRPr="00240614">
        <w:t>Monats- und Jahresbelege</w:t>
      </w:r>
    </w:p>
    <w:p w:rsidR="00240614" w:rsidRPr="00240614" w:rsidRDefault="00240614" w:rsidP="00240614">
      <w:pPr>
        <w:spacing w:after="120"/>
        <w:rPr>
          <w:sz w:val="22"/>
          <w:lang w:val="de-AT"/>
        </w:rPr>
      </w:pPr>
      <w:r w:rsidRPr="00240614">
        <w:rPr>
          <w:sz w:val="22"/>
          <w:lang w:val="de-AT"/>
        </w:rPr>
        <w:t xml:space="preserve">Am Monatsende ist der Zwischenstand des Umsatzzählers als Barumsatz mit Betrag Null (0) und elektronischer Signatur im Datenerfassungsprotokoll zu speichern. Dies ist der </w:t>
      </w:r>
      <w:r w:rsidRPr="00240614">
        <w:rPr>
          <w:b/>
          <w:sz w:val="22"/>
          <w:lang w:val="de-AT"/>
        </w:rPr>
        <w:t>Monatsbeleg</w:t>
      </w:r>
      <w:r w:rsidRPr="00240614">
        <w:rPr>
          <w:sz w:val="22"/>
          <w:lang w:val="de-AT"/>
        </w:rPr>
        <w:t>.</w:t>
      </w:r>
    </w:p>
    <w:p w:rsidR="00240614" w:rsidRPr="00240614" w:rsidRDefault="00240614" w:rsidP="00240614">
      <w:pPr>
        <w:spacing w:after="120"/>
        <w:rPr>
          <w:sz w:val="22"/>
          <w:lang w:val="de-AT"/>
        </w:rPr>
      </w:pPr>
      <w:r w:rsidRPr="00240614">
        <w:rPr>
          <w:sz w:val="22"/>
          <w:lang w:val="de-AT"/>
        </w:rPr>
        <w:t xml:space="preserve">Der </w:t>
      </w:r>
      <w:r w:rsidRPr="00240614">
        <w:rPr>
          <w:b/>
          <w:sz w:val="22"/>
          <w:lang w:val="de-AT"/>
        </w:rPr>
        <w:t>Jahresbeleg</w:t>
      </w:r>
      <w:r w:rsidRPr="00240614">
        <w:rPr>
          <w:sz w:val="22"/>
          <w:lang w:val="de-AT"/>
        </w:rPr>
        <w:t xml:space="preserve"> stellt gleichzeitig den Monatsbeleg für Dezember des jeweiligen Jahres dar.</w:t>
      </w:r>
    </w:p>
    <w:p w:rsidR="00E17596" w:rsidRDefault="00240614" w:rsidP="00240614">
      <w:pPr>
        <w:spacing w:after="120"/>
        <w:rPr>
          <w:b/>
          <w:sz w:val="22"/>
          <w:lang w:val="de-AT"/>
        </w:rPr>
      </w:pPr>
      <w:r w:rsidRPr="00240614">
        <w:rPr>
          <w:b/>
          <w:sz w:val="22"/>
          <w:lang w:val="de-AT"/>
        </w:rPr>
        <w:t>Falls die Geschäftstätigkeit früher endet (z.B. Saisonbetrieb), gilt der letz</w:t>
      </w:r>
      <w:r w:rsidR="00E17596">
        <w:rPr>
          <w:b/>
          <w:sz w:val="22"/>
          <w:lang w:val="de-AT"/>
        </w:rPr>
        <w:t>te Monatsbeleg als Jahresbeleg.</w:t>
      </w:r>
    </w:p>
    <w:p w:rsidR="00240614" w:rsidRPr="00240614" w:rsidRDefault="00240614" w:rsidP="00240614">
      <w:pPr>
        <w:spacing w:after="120"/>
        <w:rPr>
          <w:sz w:val="22"/>
          <w:lang w:val="de-AT"/>
        </w:rPr>
      </w:pPr>
      <w:r w:rsidRPr="00240614">
        <w:rPr>
          <w:sz w:val="22"/>
          <w:lang w:val="de-AT"/>
        </w:rPr>
        <w:t xml:space="preserve">Der Registrierkassenpflichtige hat daher am Ende des Kalenderjahres bzw. am letzten Tag seiner getätigten Umsätze, grundsätzlich bis zum 31. Dezember, den </w:t>
      </w:r>
      <w:r w:rsidRPr="00240614">
        <w:rPr>
          <w:b/>
          <w:sz w:val="22"/>
          <w:lang w:val="de-AT"/>
        </w:rPr>
        <w:t>Jahresbeleg</w:t>
      </w:r>
      <w:r w:rsidRPr="00240614">
        <w:rPr>
          <w:sz w:val="22"/>
          <w:lang w:val="de-AT"/>
        </w:rPr>
        <w:t xml:space="preserve"> herzustellen und </w:t>
      </w:r>
      <w:r w:rsidRPr="00240614">
        <w:rPr>
          <w:b/>
          <w:sz w:val="22"/>
          <w:lang w:val="de-AT"/>
        </w:rPr>
        <w:t>nach Ausdruck aufzubewahren</w:t>
      </w:r>
      <w:r w:rsidRPr="00240614">
        <w:rPr>
          <w:sz w:val="22"/>
          <w:lang w:val="de-AT"/>
        </w:rPr>
        <w:t>.</w:t>
      </w:r>
    </w:p>
    <w:p w:rsidR="00240614" w:rsidRPr="00240614" w:rsidRDefault="00240614" w:rsidP="00240614">
      <w:pPr>
        <w:spacing w:after="120"/>
        <w:rPr>
          <w:b/>
          <w:sz w:val="22"/>
          <w:lang w:val="de-AT"/>
        </w:rPr>
      </w:pPr>
      <w:r w:rsidRPr="00240614">
        <w:rPr>
          <w:sz w:val="22"/>
          <w:lang w:val="de-AT"/>
        </w:rPr>
        <w:t xml:space="preserve">Jahresbelege sind wie Startbelege zu prüfen, wobei diese Prüfung spätestens bis zum 15. Februar des Folgejahres durchgeführt sein muss. </w:t>
      </w:r>
      <w:r w:rsidRPr="00240614">
        <w:rPr>
          <w:b/>
          <w:sz w:val="22"/>
          <w:lang w:val="de-AT"/>
        </w:rPr>
        <w:t xml:space="preserve">Die Prüfung des Jahresbelegs kann für Sie durch die Kanzlei vorgenommen werden. Bitte lassen Sie uns dazu </w:t>
      </w:r>
      <w:r w:rsidR="00DD10C0">
        <w:rPr>
          <w:b/>
          <w:sz w:val="22"/>
          <w:lang w:val="de-AT"/>
        </w:rPr>
        <w:t>eine Kopie des</w:t>
      </w:r>
      <w:r w:rsidRPr="00240614">
        <w:rPr>
          <w:b/>
          <w:sz w:val="22"/>
          <w:lang w:val="de-AT"/>
        </w:rPr>
        <w:t xml:space="preserve"> Beleg</w:t>
      </w:r>
      <w:r w:rsidR="00DD10C0">
        <w:rPr>
          <w:b/>
          <w:sz w:val="22"/>
          <w:lang w:val="de-AT"/>
        </w:rPr>
        <w:t>s</w:t>
      </w:r>
      <w:r w:rsidRPr="00240614">
        <w:rPr>
          <w:b/>
          <w:sz w:val="22"/>
          <w:lang w:val="de-AT"/>
        </w:rPr>
        <w:t xml:space="preserve"> zeitgerecht entweder </w:t>
      </w:r>
      <w:r w:rsidR="00DD10C0">
        <w:rPr>
          <w:b/>
          <w:sz w:val="22"/>
          <w:lang w:val="de-AT"/>
        </w:rPr>
        <w:t>in Papierform</w:t>
      </w:r>
      <w:r w:rsidRPr="00240614">
        <w:rPr>
          <w:b/>
          <w:sz w:val="22"/>
          <w:lang w:val="de-AT"/>
        </w:rPr>
        <w:t xml:space="preserve"> oder als E</w:t>
      </w:r>
      <w:r w:rsidR="00F76ED0">
        <w:rPr>
          <w:b/>
          <w:sz w:val="22"/>
          <w:lang w:val="de-AT"/>
        </w:rPr>
        <w:t>-M</w:t>
      </w:r>
      <w:r w:rsidRPr="00240614">
        <w:rPr>
          <w:b/>
          <w:sz w:val="22"/>
          <w:lang w:val="de-AT"/>
        </w:rPr>
        <w:t>ail zukommen.</w:t>
      </w:r>
    </w:p>
    <w:p w:rsidR="00240614" w:rsidRPr="00240614" w:rsidRDefault="00240614" w:rsidP="00240614">
      <w:pPr>
        <w:rPr>
          <w:sz w:val="22"/>
          <w:lang w:val="de-AT"/>
        </w:rPr>
      </w:pPr>
      <w:r w:rsidRPr="00240614">
        <w:rPr>
          <w:sz w:val="22"/>
          <w:lang w:val="de-AT"/>
        </w:rPr>
        <w:t>In Monaten, in denen keine Geschäftstätigkeit stattfindet, müssen keine Monatsbelege erstellt werden.</w:t>
      </w:r>
    </w:p>
    <w:p w:rsidR="00240614" w:rsidRPr="00240614" w:rsidRDefault="00240614" w:rsidP="00240614">
      <w:pPr>
        <w:pStyle w:val="berschrift1"/>
        <w:numPr>
          <w:ilvl w:val="0"/>
          <w:numId w:val="0"/>
        </w:numPr>
      </w:pPr>
      <w:r w:rsidRPr="00240614">
        <w:t>Sicherung des Datenerfassungsprotokolls</w:t>
      </w:r>
    </w:p>
    <w:p w:rsidR="00240614" w:rsidRPr="00240614" w:rsidRDefault="00240614" w:rsidP="00240614">
      <w:pPr>
        <w:spacing w:after="120"/>
        <w:rPr>
          <w:sz w:val="22"/>
          <w:lang w:val="de-AT"/>
        </w:rPr>
      </w:pPr>
      <w:r w:rsidRPr="00240614">
        <w:rPr>
          <w:sz w:val="22"/>
          <w:lang w:val="de-AT"/>
        </w:rPr>
        <w:t>Das vollständige Datenerfassungsprotokoll Ihrer Registrierkasse ist zumindest quartalsweise auf einem externen Datenträger zu sichern. Jede Sicherung ist mindest</w:t>
      </w:r>
      <w:r w:rsidR="00397041">
        <w:rPr>
          <w:sz w:val="22"/>
          <w:lang w:val="de-AT"/>
        </w:rPr>
        <w:t>ens sieben Jahre aufzubewahren.</w:t>
      </w:r>
    </w:p>
    <w:bookmarkEnd w:id="0"/>
    <w:p w:rsidR="00FD6AF8" w:rsidRDefault="00FD6AF8" w:rsidP="00FD6AF8">
      <w:pPr>
        <w:spacing w:after="120"/>
        <w:rPr>
          <w:sz w:val="22"/>
          <w:lang w:val="de-AT"/>
        </w:rPr>
      </w:pPr>
    </w:p>
    <w:p w:rsidR="004249AB" w:rsidRPr="00FD6AF8" w:rsidRDefault="004249AB" w:rsidP="00FD6AF8">
      <w:pPr>
        <w:spacing w:after="120"/>
        <w:rPr>
          <w:sz w:val="22"/>
          <w:lang w:val="de-AT"/>
        </w:rPr>
      </w:pPr>
    </w:p>
    <w:sectPr w:rsidR="004249AB" w:rsidRPr="00FD6AF8" w:rsidSect="00755763">
      <w:pgSz w:w="11907" w:h="16840" w:code="9"/>
      <w:pgMar w:top="993" w:right="1134" w:bottom="1276" w:left="1134" w:header="720" w:footer="8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3AB" w:rsidRDefault="004153AB">
      <w:r>
        <w:separator/>
      </w:r>
    </w:p>
  </w:endnote>
  <w:endnote w:type="continuationSeparator" w:id="0">
    <w:p w:rsidR="004153AB" w:rsidRDefault="0041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3AB" w:rsidRDefault="004153AB">
      <w:r>
        <w:separator/>
      </w:r>
    </w:p>
  </w:footnote>
  <w:footnote w:type="continuationSeparator" w:id="0">
    <w:p w:rsidR="004153AB" w:rsidRDefault="00415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06C00"/>
    <w:multiLevelType w:val="hybridMultilevel"/>
    <w:tmpl w:val="96D26B8E"/>
    <w:lvl w:ilvl="0" w:tplc="941441D6">
      <w:start w:val="1"/>
      <w:numFmt w:val="bullet"/>
      <w:pStyle w:val="berschrift1"/>
      <w:lvlText w:val="»"/>
      <w:lvlJc w:val="left"/>
      <w:pPr>
        <w:ind w:left="2062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11BC6"/>
    <w:multiLevelType w:val="singleLevel"/>
    <w:tmpl w:val="6F28EB2C"/>
    <w:lvl w:ilvl="0">
      <w:start w:val="1"/>
      <w:numFmt w:val="decimal"/>
      <w:pStyle w:val="CDberschriftNum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14"/>
    <w:rsid w:val="000454F0"/>
    <w:rsid w:val="002002F7"/>
    <w:rsid w:val="00240614"/>
    <w:rsid w:val="002B2BFA"/>
    <w:rsid w:val="0038735A"/>
    <w:rsid w:val="00397041"/>
    <w:rsid w:val="004153AB"/>
    <w:rsid w:val="004249AB"/>
    <w:rsid w:val="00634B10"/>
    <w:rsid w:val="00702350"/>
    <w:rsid w:val="00755763"/>
    <w:rsid w:val="007B22F8"/>
    <w:rsid w:val="00826727"/>
    <w:rsid w:val="00A42109"/>
    <w:rsid w:val="00A7715A"/>
    <w:rsid w:val="00B30A75"/>
    <w:rsid w:val="00B5307A"/>
    <w:rsid w:val="00C74EF4"/>
    <w:rsid w:val="00D40384"/>
    <w:rsid w:val="00D45BBF"/>
    <w:rsid w:val="00DD10C0"/>
    <w:rsid w:val="00E17596"/>
    <w:rsid w:val="00F1634A"/>
    <w:rsid w:val="00F76ED0"/>
    <w:rsid w:val="00F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13758-2DFD-41A6-AE4A-868A1D51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7041"/>
    <w:rPr>
      <w:rFonts w:ascii="Century Gothic" w:hAnsi="Century Gothic"/>
      <w:sz w:val="24"/>
      <w:lang w:val="de-DE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240614"/>
    <w:pPr>
      <w:numPr>
        <w:numId w:val="2"/>
      </w:numPr>
      <w:autoSpaceDE w:val="0"/>
      <w:autoSpaceDN w:val="0"/>
      <w:adjustRightInd w:val="0"/>
      <w:spacing w:before="360" w:after="240"/>
      <w:contextualSpacing w:val="0"/>
      <w:outlineLvl w:val="0"/>
    </w:pPr>
    <w:rPr>
      <w:rFonts w:cs="Arial"/>
      <w:b/>
      <w:bCs/>
      <w:color w:val="273684"/>
      <w:sz w:val="30"/>
      <w:szCs w:val="3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406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  <w:rsid w:val="00397041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397041"/>
  </w:style>
  <w:style w:type="paragraph" w:styleId="Kopfzeile">
    <w:name w:val="header"/>
    <w:basedOn w:val="Standard"/>
    <w:rsid w:val="00397041"/>
    <w:pPr>
      <w:tabs>
        <w:tab w:val="center" w:pos="4536"/>
        <w:tab w:val="right" w:pos="9072"/>
      </w:tabs>
    </w:pPr>
  </w:style>
  <w:style w:type="paragraph" w:customStyle="1" w:styleId="berschriftCD2">
    <w:name w:val="ÜberschriftCD2"/>
    <w:basedOn w:val="Standard"/>
    <w:rsid w:val="00397041"/>
    <w:pPr>
      <w:jc w:val="both"/>
    </w:pPr>
    <w:rPr>
      <w:b/>
      <w:smallCaps/>
      <w:shadow/>
      <w:sz w:val="32"/>
    </w:rPr>
  </w:style>
  <w:style w:type="paragraph" w:styleId="Fuzeile">
    <w:name w:val="footer"/>
    <w:basedOn w:val="Standard"/>
    <w:rsid w:val="00397041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97041"/>
    <w:rPr>
      <w:color w:val="0000FF"/>
      <w:u w:val="single"/>
    </w:rPr>
  </w:style>
  <w:style w:type="paragraph" w:customStyle="1" w:styleId="CDberschriftNum">
    <w:name w:val="CDÜberschriftNum"/>
    <w:basedOn w:val="Standard"/>
    <w:rsid w:val="00397041"/>
    <w:pPr>
      <w:numPr>
        <w:numId w:val="1"/>
      </w:numPr>
      <w:spacing w:after="120"/>
    </w:pPr>
    <w:rPr>
      <w:b/>
      <w:smallCaps/>
      <w:sz w:val="28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0614"/>
    <w:rPr>
      <w:rFonts w:ascii="Arial" w:eastAsiaTheme="minorHAnsi" w:hAnsi="Arial" w:cs="Arial"/>
      <w:b/>
      <w:bCs/>
      <w:color w:val="273684"/>
      <w:sz w:val="30"/>
      <w:szCs w:val="30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406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Listenabsatz">
    <w:name w:val="List Paragraph"/>
    <w:basedOn w:val="Standard"/>
    <w:uiPriority w:val="34"/>
    <w:qFormat/>
    <w:rsid w:val="002406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FD6AF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D6AF8"/>
    <w:rPr>
      <w:rFonts w:ascii="Segoe UI" w:eastAsiaTheme="minorHAns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01</vt:lpstr>
    </vt:vector>
  </TitlesOfParts>
  <Company>Dr. Georg Demeter - Steuerberater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ITEDV - Treuhand-Union Neusiedl</dc:creator>
  <cp:keywords/>
  <dc:description/>
  <cp:lastModifiedBy>ITEDV - Treuhand-Union Neusiedl</cp:lastModifiedBy>
  <cp:revision>2</cp:revision>
  <cp:lastPrinted>2017-11-17T08:56:00Z</cp:lastPrinted>
  <dcterms:created xsi:type="dcterms:W3CDTF">2017-12-14T09:59:00Z</dcterms:created>
  <dcterms:modified xsi:type="dcterms:W3CDTF">2017-12-14T09:59:00Z</dcterms:modified>
</cp:coreProperties>
</file>